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UK Ready</w:t>
      </w:r>
      <w:r/>
    </w:p>
    <w:p>
      <w:pPr>
        <w:pStyle w:val="Title"/>
      </w:pPr>
      <w:r>
        <w:t>Two week emergency food and essentials checklist</w:t>
      </w:r>
    </w:p>
    <w:p>
      <w:pPr>
        <w:pStyle w:val="Subtitle"/>
      </w:pPr>
      <w:r>
        <w:t>A household guide to food, water and everyday supplies for 14 days</w:t>
      </w:r>
    </w:p>
    <w:p>
      <w:r>
        <w:rPr>
          <w:sz w:val="20"/>
        </w:rPr>
        <w:t>Sources checked 1 November 2026</w:t>
      </w:r>
    </w:p>
    <w:p>
      <w:r>
        <w:t>A practical reserve can help your household manage if shops, transport or utilities are disrupted. Use this checklist to work out what you would need at home for two weeks, starting with supplies you already have. Choose familiar food, allow for everyone who may stay with you and build up gradually within your budget and storage space.</w:t>
      </w:r>
    </w:p>
    <w:p>
      <w:r>
        <w:rPr>
          <w:b/>
        </w:rPr>
        <w:t>Start with three days.</w:t>
      </w:r>
      <w:r>
        <w:t xml:space="preserve"> The UK Government's current Be Ready checklist uses a three-day starting point. This guide offers an optional extension to 14 days, inspired by the Emergency Pantry List hosted by NSW Health. Two weeks is a UK Ready planning choice, not a UK government requirement or a prediction of an emergency. [1, 2]</w:t>
      </w:r>
    </w:p>
    <w:p>
      <w:pPr>
        <w:pStyle w:val="Heading2"/>
      </w:pPr>
      <w:r>
        <w:t>Drinking water for your household</w:t>
      </w:r>
    </w:p>
    <w:p>
      <w:r>
        <w:t>The official planning figure is 3 litres of drinking water for each person each day. The table extends that figure to seven and fourteen days. These are storage calculations, not instructions about how much an individual should drink. Follow any prescribed fluid limits and each baby's usual feeding plan. [1, 3]</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1656"/>
        <w:gridCol w:w="2808"/>
        <w:gridCol w:w="2808"/>
        <w:gridCol w:w="2808"/>
      </w:tblGrid>
      <w:tr>
        <w:trPr>
          <w:tblHeader/>
          <w:cantSplit/>
        </w:trPr>
        <w:tc>
          <w:tcPr>
            <w:tcW w:type="dxa" w:w="1656"/>
            <w:vAlign w:val="center"/>
            <w:shd w:fill="233B50"/>
          </w:tcPr>
          <w:p>
            <w:pPr>
              <w:spacing w:after="0" w:before="0" w:line="245" w:lineRule="auto"/>
            </w:pPr>
            <w:r>
              <w:rPr>
                <w:b/>
                <w:color w:val="FFFFFF"/>
                <w:sz w:val="21"/>
              </w:rPr>
              <w:t>People</w:t>
            </w:r>
          </w:p>
        </w:tc>
        <w:tc>
          <w:tcPr>
            <w:tcW w:type="dxa" w:w="2808"/>
            <w:vAlign w:val="center"/>
            <w:shd w:fill="233B50"/>
          </w:tcPr>
          <w:p>
            <w:pPr>
              <w:spacing w:after="0" w:before="0" w:line="245" w:lineRule="auto"/>
              <w:jc w:val="center"/>
            </w:pPr>
            <w:r>
              <w:rPr>
                <w:b/>
                <w:color w:val="FFFFFF"/>
                <w:sz w:val="21"/>
              </w:rPr>
              <w:t>3 days</w:t>
            </w:r>
          </w:p>
        </w:tc>
        <w:tc>
          <w:tcPr>
            <w:tcW w:type="dxa" w:w="2808"/>
            <w:vAlign w:val="center"/>
            <w:shd w:fill="233B50"/>
          </w:tcPr>
          <w:p>
            <w:pPr>
              <w:spacing w:after="0" w:before="0" w:line="245" w:lineRule="auto"/>
              <w:jc w:val="center"/>
            </w:pPr>
            <w:r>
              <w:rPr>
                <w:b/>
                <w:color w:val="FFFFFF"/>
                <w:sz w:val="21"/>
              </w:rPr>
              <w:t>7 days</w:t>
            </w:r>
          </w:p>
        </w:tc>
        <w:tc>
          <w:tcPr>
            <w:tcW w:type="dxa" w:w="2808"/>
            <w:vAlign w:val="center"/>
            <w:shd w:fill="233B50"/>
          </w:tcPr>
          <w:p>
            <w:pPr>
              <w:spacing w:after="0" w:before="0" w:line="245" w:lineRule="auto"/>
              <w:jc w:val="center"/>
            </w:pPr>
            <w:r>
              <w:rPr>
                <w:b/>
                <w:color w:val="FFFFFF"/>
                <w:sz w:val="21"/>
              </w:rPr>
              <w:t>14 days</w:t>
            </w:r>
          </w:p>
        </w:tc>
      </w:tr>
      <w:tr>
        <w:trPr>
          <w:cantSplit/>
        </w:trPr>
        <w:tc>
          <w:tcPr>
            <w:tcW w:type="dxa" w:w="1656"/>
            <w:vAlign w:val="center"/>
            <w:shd w:fill="FFFFFF"/>
          </w:tcPr>
          <w:p>
            <w:pPr>
              <w:spacing w:after="0" w:before="0" w:line="245" w:lineRule="auto"/>
            </w:pPr>
            <w:r>
              <w:rPr>
                <w:color w:val="000000"/>
                <w:sz w:val="21"/>
              </w:rPr>
              <w:t>1</w:t>
            </w:r>
          </w:p>
        </w:tc>
        <w:tc>
          <w:tcPr>
            <w:tcW w:type="dxa" w:w="2808"/>
            <w:vAlign w:val="center"/>
            <w:shd w:fill="FFFFFF"/>
          </w:tcPr>
          <w:p>
            <w:pPr>
              <w:spacing w:after="0" w:before="0" w:line="245" w:lineRule="auto"/>
              <w:jc w:val="center"/>
            </w:pPr>
            <w:r>
              <w:rPr>
                <w:color w:val="000000"/>
                <w:sz w:val="21"/>
              </w:rPr>
              <w:t>9 litres</w:t>
            </w:r>
          </w:p>
        </w:tc>
        <w:tc>
          <w:tcPr>
            <w:tcW w:type="dxa" w:w="2808"/>
            <w:vAlign w:val="center"/>
            <w:shd w:fill="FFFFFF"/>
          </w:tcPr>
          <w:p>
            <w:pPr>
              <w:spacing w:after="0" w:before="0" w:line="245" w:lineRule="auto"/>
              <w:jc w:val="center"/>
            </w:pPr>
            <w:r>
              <w:rPr>
                <w:color w:val="000000"/>
                <w:sz w:val="21"/>
              </w:rPr>
              <w:t>21 litres</w:t>
            </w:r>
          </w:p>
        </w:tc>
        <w:tc>
          <w:tcPr>
            <w:tcW w:type="dxa" w:w="2808"/>
            <w:vAlign w:val="center"/>
            <w:shd w:fill="FFFFFF"/>
          </w:tcPr>
          <w:p>
            <w:pPr>
              <w:spacing w:after="0" w:before="0" w:line="245" w:lineRule="auto"/>
              <w:jc w:val="center"/>
            </w:pPr>
            <w:r>
              <w:rPr>
                <w:color w:val="000000"/>
                <w:sz w:val="21"/>
              </w:rPr>
              <w:t>42 litres</w:t>
            </w:r>
          </w:p>
        </w:tc>
      </w:tr>
      <w:tr>
        <w:trPr>
          <w:cantSplit/>
        </w:trPr>
        <w:tc>
          <w:tcPr>
            <w:tcW w:type="dxa" w:w="1656"/>
            <w:vAlign w:val="center"/>
            <w:shd w:fill="F2F5F7"/>
          </w:tcPr>
          <w:p>
            <w:pPr>
              <w:spacing w:after="0" w:before="0" w:line="245" w:lineRule="auto"/>
            </w:pPr>
            <w:r>
              <w:rPr>
                <w:color w:val="000000"/>
                <w:sz w:val="21"/>
              </w:rPr>
              <w:t>2</w:t>
            </w:r>
          </w:p>
        </w:tc>
        <w:tc>
          <w:tcPr>
            <w:tcW w:type="dxa" w:w="2808"/>
            <w:vAlign w:val="center"/>
            <w:shd w:fill="F2F5F7"/>
          </w:tcPr>
          <w:p>
            <w:pPr>
              <w:spacing w:after="0" w:before="0" w:line="245" w:lineRule="auto"/>
              <w:jc w:val="center"/>
            </w:pPr>
            <w:r>
              <w:rPr>
                <w:color w:val="000000"/>
                <w:sz w:val="21"/>
              </w:rPr>
              <w:t>18 litres</w:t>
            </w:r>
          </w:p>
        </w:tc>
        <w:tc>
          <w:tcPr>
            <w:tcW w:type="dxa" w:w="2808"/>
            <w:vAlign w:val="center"/>
            <w:shd w:fill="F2F5F7"/>
          </w:tcPr>
          <w:p>
            <w:pPr>
              <w:spacing w:after="0" w:before="0" w:line="245" w:lineRule="auto"/>
              <w:jc w:val="center"/>
            </w:pPr>
            <w:r>
              <w:rPr>
                <w:color w:val="000000"/>
                <w:sz w:val="21"/>
              </w:rPr>
              <w:t>42 litres</w:t>
            </w:r>
          </w:p>
        </w:tc>
        <w:tc>
          <w:tcPr>
            <w:tcW w:type="dxa" w:w="2808"/>
            <w:vAlign w:val="center"/>
            <w:shd w:fill="F2F5F7"/>
          </w:tcPr>
          <w:p>
            <w:pPr>
              <w:spacing w:after="0" w:before="0" w:line="245" w:lineRule="auto"/>
              <w:jc w:val="center"/>
            </w:pPr>
            <w:r>
              <w:rPr>
                <w:color w:val="000000"/>
                <w:sz w:val="21"/>
              </w:rPr>
              <w:t>84 litres</w:t>
            </w:r>
          </w:p>
        </w:tc>
      </w:tr>
      <w:tr>
        <w:trPr>
          <w:cantSplit/>
        </w:trPr>
        <w:tc>
          <w:tcPr>
            <w:tcW w:type="dxa" w:w="1656"/>
            <w:vAlign w:val="center"/>
            <w:shd w:fill="FFFFFF"/>
          </w:tcPr>
          <w:p>
            <w:pPr>
              <w:spacing w:after="0" w:before="0" w:line="245" w:lineRule="auto"/>
            </w:pPr>
            <w:r>
              <w:rPr>
                <w:color w:val="000000"/>
                <w:sz w:val="21"/>
              </w:rPr>
              <w:t>3</w:t>
            </w:r>
          </w:p>
        </w:tc>
        <w:tc>
          <w:tcPr>
            <w:tcW w:type="dxa" w:w="2808"/>
            <w:vAlign w:val="center"/>
            <w:shd w:fill="FFFFFF"/>
          </w:tcPr>
          <w:p>
            <w:pPr>
              <w:spacing w:after="0" w:before="0" w:line="245" w:lineRule="auto"/>
              <w:jc w:val="center"/>
            </w:pPr>
            <w:r>
              <w:rPr>
                <w:color w:val="000000"/>
                <w:sz w:val="21"/>
              </w:rPr>
              <w:t>27 litres</w:t>
            </w:r>
          </w:p>
        </w:tc>
        <w:tc>
          <w:tcPr>
            <w:tcW w:type="dxa" w:w="2808"/>
            <w:vAlign w:val="center"/>
            <w:shd w:fill="FFFFFF"/>
          </w:tcPr>
          <w:p>
            <w:pPr>
              <w:spacing w:after="0" w:before="0" w:line="245" w:lineRule="auto"/>
              <w:jc w:val="center"/>
            </w:pPr>
            <w:r>
              <w:rPr>
                <w:color w:val="000000"/>
                <w:sz w:val="21"/>
              </w:rPr>
              <w:t>63 litres</w:t>
            </w:r>
          </w:p>
        </w:tc>
        <w:tc>
          <w:tcPr>
            <w:tcW w:type="dxa" w:w="2808"/>
            <w:vAlign w:val="center"/>
            <w:shd w:fill="FFFFFF"/>
          </w:tcPr>
          <w:p>
            <w:pPr>
              <w:spacing w:after="0" w:before="0" w:line="245" w:lineRule="auto"/>
              <w:jc w:val="center"/>
            </w:pPr>
            <w:r>
              <w:rPr>
                <w:color w:val="000000"/>
                <w:sz w:val="21"/>
              </w:rPr>
              <w:t>126 litres</w:t>
            </w:r>
          </w:p>
        </w:tc>
      </w:tr>
      <w:tr>
        <w:trPr>
          <w:cantSplit/>
        </w:trPr>
        <w:tc>
          <w:tcPr>
            <w:tcW w:type="dxa" w:w="1656"/>
            <w:vAlign w:val="center"/>
            <w:shd w:fill="F2F5F7"/>
          </w:tcPr>
          <w:p>
            <w:pPr>
              <w:spacing w:after="0" w:before="0" w:line="245" w:lineRule="auto"/>
            </w:pPr>
            <w:r>
              <w:rPr>
                <w:color w:val="000000"/>
                <w:sz w:val="21"/>
              </w:rPr>
              <w:t>4</w:t>
            </w:r>
          </w:p>
        </w:tc>
        <w:tc>
          <w:tcPr>
            <w:tcW w:type="dxa" w:w="2808"/>
            <w:vAlign w:val="center"/>
            <w:shd w:fill="F2F5F7"/>
          </w:tcPr>
          <w:p>
            <w:pPr>
              <w:spacing w:after="0" w:before="0" w:line="245" w:lineRule="auto"/>
              <w:jc w:val="center"/>
            </w:pPr>
            <w:r>
              <w:rPr>
                <w:color w:val="000000"/>
                <w:sz w:val="21"/>
              </w:rPr>
              <w:t>36 litres</w:t>
            </w:r>
          </w:p>
        </w:tc>
        <w:tc>
          <w:tcPr>
            <w:tcW w:type="dxa" w:w="2808"/>
            <w:vAlign w:val="center"/>
            <w:shd w:fill="F2F5F7"/>
          </w:tcPr>
          <w:p>
            <w:pPr>
              <w:spacing w:after="0" w:before="0" w:line="245" w:lineRule="auto"/>
              <w:jc w:val="center"/>
            </w:pPr>
            <w:r>
              <w:rPr>
                <w:color w:val="000000"/>
                <w:sz w:val="21"/>
              </w:rPr>
              <w:t>84 litres</w:t>
            </w:r>
          </w:p>
        </w:tc>
        <w:tc>
          <w:tcPr>
            <w:tcW w:type="dxa" w:w="2808"/>
            <w:vAlign w:val="center"/>
            <w:shd w:fill="F2F5F7"/>
          </w:tcPr>
          <w:p>
            <w:pPr>
              <w:spacing w:after="0" w:before="0" w:line="245" w:lineRule="auto"/>
              <w:jc w:val="center"/>
            </w:pPr>
            <w:r>
              <w:rPr>
                <w:color w:val="000000"/>
                <w:sz w:val="21"/>
              </w:rPr>
              <w:t>168 litres</w:t>
            </w:r>
          </w:p>
        </w:tc>
      </w:tr>
      <w:tr>
        <w:trPr>
          <w:cantSplit/>
        </w:trPr>
        <w:tc>
          <w:tcPr>
            <w:tcW w:type="dxa" w:w="1656"/>
            <w:vAlign w:val="center"/>
            <w:shd w:fill="FFFFFF"/>
          </w:tcPr>
          <w:p>
            <w:pPr>
              <w:spacing w:after="0" w:before="0" w:line="245" w:lineRule="auto"/>
            </w:pPr>
            <w:r>
              <w:rPr>
                <w:color w:val="000000"/>
                <w:sz w:val="21"/>
              </w:rPr>
              <w:t>5</w:t>
            </w:r>
          </w:p>
        </w:tc>
        <w:tc>
          <w:tcPr>
            <w:tcW w:type="dxa" w:w="2808"/>
            <w:vAlign w:val="center"/>
            <w:shd w:fill="FFFFFF"/>
          </w:tcPr>
          <w:p>
            <w:pPr>
              <w:spacing w:after="0" w:before="0" w:line="245" w:lineRule="auto"/>
              <w:jc w:val="center"/>
            </w:pPr>
            <w:r>
              <w:rPr>
                <w:color w:val="000000"/>
                <w:sz w:val="21"/>
              </w:rPr>
              <w:t>45 litres</w:t>
            </w:r>
          </w:p>
        </w:tc>
        <w:tc>
          <w:tcPr>
            <w:tcW w:type="dxa" w:w="2808"/>
            <w:vAlign w:val="center"/>
            <w:shd w:fill="FFFFFF"/>
          </w:tcPr>
          <w:p>
            <w:pPr>
              <w:spacing w:after="0" w:before="0" w:line="245" w:lineRule="auto"/>
              <w:jc w:val="center"/>
            </w:pPr>
            <w:r>
              <w:rPr>
                <w:color w:val="000000"/>
                <w:sz w:val="21"/>
              </w:rPr>
              <w:t>105 litres</w:t>
            </w:r>
          </w:p>
        </w:tc>
        <w:tc>
          <w:tcPr>
            <w:tcW w:type="dxa" w:w="2808"/>
            <w:vAlign w:val="center"/>
            <w:shd w:fill="FFFFFF"/>
          </w:tcPr>
          <w:p>
            <w:pPr>
              <w:spacing w:after="0" w:before="0" w:line="245" w:lineRule="auto"/>
              <w:jc w:val="center"/>
            </w:pPr>
            <w:r>
              <w:rPr>
                <w:color w:val="000000"/>
                <w:sz w:val="21"/>
              </w:rPr>
              <w:t>210 litres</w:t>
            </w:r>
          </w:p>
        </w:tc>
      </w:tr>
    </w:tbl>
    <w:p>
      <w:pPr>
        <w:spacing w:after="20"/>
      </w:pPr>
      <w:r/>
    </w:p>
    <w:p>
      <w:r>
        <w:rPr>
          <w:b/>
        </w:rPr>
        <w:t>Add water separately</w:t>
      </w:r>
      <w:r>
        <w:t xml:space="preserve"> for food preparation, washing, pets and any care needs. The amounts above cover drinking water only. Store sealed bottled water according to the label, where you can reach and move it safely. If space is limited, start with the three-day amount and check your water supplier's arrangements for outages. [3]</w:t>
      </w:r>
    </w:p>
    <w:p>
      <w:pPr>
        <w:spacing w:after="120"/>
        <w:ind w:left="259" w:hanging="259"/>
      </w:pPr>
      <w:r>
        <w:rPr>
          <w:rFonts w:ascii="DejaVu Sans" w:hAnsi="DejaVu Sans"/>
        </w:rPr>
        <w:t xml:space="preserve">☐  </w:t>
      </w:r>
      <w:r>
        <w:t>Drinking water checked and a realistic storage plan made.</w:t>
      </w:r>
    </w:p>
    <w:p>
      <w:pPr>
        <w:spacing w:after="120"/>
        <w:ind w:left="259" w:hanging="259"/>
      </w:pPr>
      <w:r>
        <w:rPr>
          <w:rFonts w:ascii="DejaVu Sans" w:hAnsi="DejaVu Sans"/>
        </w:rPr>
        <w:t xml:space="preserve">☐  </w:t>
      </w:r>
      <w:r>
        <w:t>Extra water needs and the water supplier's contact details recorded.</w:t>
      </w:r>
    </w:p>
    <w:p>
      <w:r>
        <w:rPr>
          <w:sz w:val="20"/>
        </w:rPr>
        <w:t>This is a stay-at-home planning guide. Follow instructions to evacuate if authorities tell you to leave. Keep essential documents and a small grab bag accessible. [1, 4]</w:t>
      </w:r>
    </w:p>
    <w:p>
      <w:r>
        <w:br w:type="page"/>
      </w:r>
    </w:p>
    <w:p>
      <w:pPr>
        <w:pStyle w:val="Heading1"/>
      </w:pPr>
      <w:r>
        <w:t>Food checklist for fourteen days</w:t>
      </w:r>
    </w:p>
    <w:p>
      <w:r>
        <w:t>Plan seven days of meals your household would normally eat, then repeat the plan for week two. For someone who normally eats breakfast, lunch and an evening meal, allow 14 breakfasts and 28 main meals, plus their usual snacks. These are meal counts, not a nutritional prescription; appetite, age and dietary needs determine portions.</w:t>
      </w:r>
    </w:p>
    <w:p>
      <w:r>
        <w:rPr>
          <w:b/>
        </w:rPr>
        <w:t>Count complete meals, not tins.</w:t>
      </w:r>
      <w:r>
        <w:t xml:space="preserve"> Include all ingredients needed for each meal. A tin of tomatoes is an ingredient, and a small tin of soup may not be enough for a meal. The items below are choices to build your menu from; you do not need every alternative.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792"/>
        <w:gridCol w:w="3096"/>
        <w:gridCol w:w="6192"/>
      </w:tblGrid>
      <w:tr>
        <w:trPr>
          <w:tblHeader/>
          <w:cantSplit/>
        </w:trPr>
        <w:tc>
          <w:tcPr>
            <w:tcW w:type="dxa" w:w="792"/>
            <w:vAlign w:val="center"/>
            <w:shd w:fill="233B50"/>
          </w:tcPr>
          <w:p>
            <w:pPr>
              <w:spacing w:after="0" w:before="0" w:line="245" w:lineRule="auto"/>
              <w:jc w:val="center"/>
            </w:pPr>
            <w:r>
              <w:rPr>
                <w:b/>
                <w:color w:val="FFFFFF"/>
                <w:sz w:val="21"/>
              </w:rPr>
              <w:t>Done</w:t>
            </w:r>
          </w:p>
        </w:tc>
        <w:tc>
          <w:tcPr>
            <w:tcW w:type="dxa" w:w="3096"/>
            <w:vAlign w:val="center"/>
            <w:shd w:fill="233B50"/>
          </w:tcPr>
          <w:p>
            <w:pPr>
              <w:spacing w:after="0" w:before="0" w:line="245" w:lineRule="auto"/>
            </w:pPr>
            <w:r>
              <w:rPr>
                <w:b/>
                <w:color w:val="FFFFFF"/>
                <w:sz w:val="21"/>
              </w:rPr>
              <w:t>Food to consider</w:t>
            </w:r>
          </w:p>
        </w:tc>
        <w:tc>
          <w:tcPr>
            <w:tcW w:type="dxa" w:w="6192"/>
            <w:vAlign w:val="center"/>
            <w:shd w:fill="233B50"/>
          </w:tcPr>
          <w:p>
            <w:pPr>
              <w:spacing w:after="0" w:before="0" w:line="245" w:lineRule="auto"/>
            </w:pPr>
            <w:r>
              <w:rPr>
                <w:b/>
                <w:color w:val="FFFFFF"/>
                <w:sz w:val="21"/>
              </w:rPr>
              <w:t>How to plan the quantity</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3096"/>
            <w:vAlign w:val="center"/>
            <w:shd w:fill="FFFFFF"/>
          </w:tcPr>
          <w:p>
            <w:pPr>
              <w:spacing w:after="0" w:before="0" w:line="245" w:lineRule="auto"/>
            </w:pPr>
            <w:r>
              <w:rPr>
                <w:color w:val="000000"/>
                <w:sz w:val="21"/>
              </w:rPr>
              <w:t>Breakfast cereal or other ready-to-eat breakfast</w:t>
            </w:r>
          </w:p>
        </w:tc>
        <w:tc>
          <w:tcPr>
            <w:tcW w:type="dxa" w:w="6192"/>
            <w:vAlign w:val="center"/>
            <w:shd w:fill="FFFFFF"/>
          </w:tcPr>
          <w:p>
            <w:pPr>
              <w:spacing w:after="0" w:before="0" w:line="245" w:lineRule="auto"/>
            </w:pPr>
            <w:r>
              <w:rPr>
                <w:color w:val="000000"/>
                <w:sz w:val="21"/>
              </w:rPr>
              <w:t>Enough for 14 usual breakfasts per person. Include any milk or other ingredients used with it.</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3096"/>
            <w:vAlign w:val="center"/>
            <w:shd w:fill="F2F5F7"/>
          </w:tcPr>
          <w:p>
            <w:pPr>
              <w:spacing w:after="0" w:before="0" w:line="245" w:lineRule="auto"/>
            </w:pPr>
            <w:r>
              <w:rPr>
                <w:color w:val="000000"/>
                <w:sz w:val="21"/>
              </w:rPr>
              <w:t>Crackers, oatcakes or suitable long-life bread</w:t>
            </w:r>
          </w:p>
        </w:tc>
        <w:tc>
          <w:tcPr>
            <w:tcW w:type="dxa" w:w="6192"/>
            <w:vAlign w:val="center"/>
            <w:shd w:fill="F2F5F7"/>
          </w:tcPr>
          <w:p>
            <w:pPr>
              <w:spacing w:after="0" w:before="0" w:line="245" w:lineRule="auto"/>
            </w:pPr>
            <w:r>
              <w:rPr>
                <w:color w:val="000000"/>
                <w:sz w:val="21"/>
              </w:rPr>
              <w:t>Include the usual portions needed alongside your chosen lunches and evening meals. Check dates and storage instructions.</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3096"/>
            <w:vAlign w:val="center"/>
            <w:shd w:fill="FFFFFF"/>
          </w:tcPr>
          <w:p>
            <w:pPr>
              <w:spacing w:after="0" w:before="0" w:line="245" w:lineRule="auto"/>
            </w:pPr>
            <w:r>
              <w:rPr>
                <w:color w:val="000000"/>
                <w:sz w:val="21"/>
              </w:rPr>
              <w:t>Cooked beans, lentils or chickpeas in tins or jars</w:t>
            </w:r>
          </w:p>
        </w:tc>
        <w:tc>
          <w:tcPr>
            <w:tcW w:type="dxa" w:w="6192"/>
            <w:vAlign w:val="center"/>
            <w:shd w:fill="FFFFFF"/>
          </w:tcPr>
          <w:p>
            <w:pPr>
              <w:spacing w:after="0" w:before="0" w:line="245" w:lineRule="auto"/>
            </w:pPr>
            <w:r>
              <w:rPr>
                <w:color w:val="000000"/>
                <w:sz w:val="21"/>
              </w:rPr>
              <w:t>Choose ready-to-eat products and count the portions required in your planned meals. Dried pulses need cooking.</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3096"/>
            <w:vAlign w:val="center"/>
            <w:shd w:fill="F2F5F7"/>
          </w:tcPr>
          <w:p>
            <w:pPr>
              <w:spacing w:after="0" w:before="0" w:line="245" w:lineRule="auto"/>
            </w:pPr>
            <w:r>
              <w:rPr>
                <w:color w:val="000000"/>
                <w:sz w:val="21"/>
              </w:rPr>
              <w:t>Tinned fish, meat or suitable alternatives</w:t>
            </w:r>
          </w:p>
        </w:tc>
        <w:tc>
          <w:tcPr>
            <w:tcW w:type="dxa" w:w="6192"/>
            <w:vAlign w:val="center"/>
            <w:shd w:fill="F2F5F7"/>
          </w:tcPr>
          <w:p>
            <w:pPr>
              <w:spacing w:after="0" w:before="0" w:line="245" w:lineRule="auto"/>
            </w:pPr>
            <w:r>
              <w:rPr>
                <w:color w:val="000000"/>
                <w:sz w:val="21"/>
              </w:rPr>
              <w:t>Choose what your household eats. Buy the pack quantities needed for the meals in your plan.</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3096"/>
            <w:vAlign w:val="center"/>
            <w:shd w:fill="FFFFFF"/>
          </w:tcPr>
          <w:p>
            <w:pPr>
              <w:spacing w:after="0" w:before="0" w:line="245" w:lineRule="auto"/>
            </w:pPr>
            <w:r>
              <w:rPr>
                <w:color w:val="000000"/>
                <w:sz w:val="21"/>
              </w:rPr>
              <w:t>Ready-to-eat meals or meal pouches</w:t>
            </w:r>
          </w:p>
        </w:tc>
        <w:tc>
          <w:tcPr>
            <w:tcW w:type="dxa" w:w="6192"/>
            <w:vAlign w:val="center"/>
            <w:shd w:fill="FFFFFF"/>
          </w:tcPr>
          <w:p>
            <w:pPr>
              <w:spacing w:after="0" w:before="0" w:line="245" w:lineRule="auto"/>
            </w:pPr>
            <w:r>
              <w:rPr>
                <w:color w:val="000000"/>
                <w:sz w:val="21"/>
              </w:rPr>
              <w:t>Only count these in a no-cook reserve if the label allows them to be eaten without heating. Check the actual serving size.</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3096"/>
            <w:vAlign w:val="center"/>
            <w:shd w:fill="F2F5F7"/>
          </w:tcPr>
          <w:p>
            <w:pPr>
              <w:spacing w:after="0" w:before="0" w:line="245" w:lineRule="auto"/>
            </w:pPr>
            <w:r>
              <w:rPr>
                <w:color w:val="000000"/>
                <w:sz w:val="21"/>
              </w:rPr>
              <w:t>Tinned or jarred vegetables</w:t>
            </w:r>
          </w:p>
        </w:tc>
        <w:tc>
          <w:tcPr>
            <w:tcW w:type="dxa" w:w="6192"/>
            <w:vAlign w:val="center"/>
            <w:shd w:fill="F2F5F7"/>
          </w:tcPr>
          <w:p>
            <w:pPr>
              <w:spacing w:after="0" w:before="0" w:line="245" w:lineRule="auto"/>
            </w:pPr>
            <w:r>
              <w:rPr>
                <w:color w:val="000000"/>
                <w:sz w:val="21"/>
              </w:rPr>
              <w:t>Include a range with the main meals. Choose products suitable to eat cold where cooking may be unavailable.</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3096"/>
            <w:vAlign w:val="center"/>
            <w:shd w:fill="FFFFFF"/>
          </w:tcPr>
          <w:p>
            <w:pPr>
              <w:spacing w:after="0" w:before="0" w:line="245" w:lineRule="auto"/>
            </w:pPr>
            <w:r>
              <w:rPr>
                <w:color w:val="000000"/>
                <w:sz w:val="21"/>
              </w:rPr>
              <w:t>Tinned fruit and suitable dried fruit</w:t>
            </w:r>
          </w:p>
        </w:tc>
        <w:tc>
          <w:tcPr>
            <w:tcW w:type="dxa" w:w="6192"/>
            <w:vAlign w:val="center"/>
            <w:shd w:fill="FFFFFF"/>
          </w:tcPr>
          <w:p>
            <w:pPr>
              <w:spacing w:after="0" w:before="0" w:line="245" w:lineRule="auto"/>
            </w:pPr>
            <w:r>
              <w:rPr>
                <w:color w:val="000000"/>
                <w:sz w:val="21"/>
              </w:rPr>
              <w:t>Allow for normal breakfasts, snacks and desserts. Choose options that suit ages, allergies and dietary needs.</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3096"/>
            <w:vAlign w:val="center"/>
            <w:shd w:fill="F2F5F7"/>
          </w:tcPr>
          <w:p>
            <w:pPr>
              <w:spacing w:after="0" w:before="0" w:line="245" w:lineRule="auto"/>
            </w:pPr>
            <w:r>
              <w:rPr>
                <w:color w:val="000000"/>
                <w:sz w:val="21"/>
              </w:rPr>
              <w:t>Long-life milk or a suitable shelf-stable alternative</w:t>
            </w:r>
          </w:p>
        </w:tc>
        <w:tc>
          <w:tcPr>
            <w:tcW w:type="dxa" w:w="6192"/>
            <w:vAlign w:val="center"/>
            <w:shd w:fill="F2F5F7"/>
          </w:tcPr>
          <w:p>
            <w:pPr>
              <w:spacing w:after="0" w:before="0" w:line="245" w:lineRule="auto"/>
            </w:pPr>
            <w:r>
              <w:rPr>
                <w:color w:val="000000"/>
                <w:sz w:val="21"/>
              </w:rPr>
              <w:t>Calculate from normal daily use over 14 days. Smaller packs are useful when opened products cannot be refrigerated.</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3096"/>
            <w:vAlign w:val="center"/>
            <w:shd w:fill="FFFFFF"/>
          </w:tcPr>
          <w:p>
            <w:pPr>
              <w:spacing w:after="0" w:before="0" w:line="245" w:lineRule="auto"/>
            </w:pPr>
            <w:r>
              <w:rPr>
                <w:color w:val="000000"/>
                <w:sz w:val="21"/>
              </w:rPr>
              <w:t>Spreads, snack bars and familiar extras</w:t>
            </w:r>
          </w:p>
        </w:tc>
        <w:tc>
          <w:tcPr>
            <w:tcW w:type="dxa" w:w="6192"/>
            <w:vAlign w:val="center"/>
            <w:shd w:fill="FFFFFF"/>
          </w:tcPr>
          <w:p>
            <w:pPr>
              <w:spacing w:after="0" w:before="0" w:line="245" w:lineRule="auto"/>
            </w:pPr>
            <w:r>
              <w:rPr>
                <w:color w:val="000000"/>
                <w:sz w:val="21"/>
              </w:rPr>
              <w:t>Allow for normal use over 14 days. Check allergens and choose age-appropriate food for children.</w:t>
            </w:r>
          </w:p>
        </w:tc>
      </w:tr>
    </w:tbl>
    <w:p>
      <w:pPr>
        <w:spacing w:after="20"/>
      </w:pPr>
      <w:r/>
    </w:p>
    <w:p>
      <w:r>
        <w:t>Use the label to decide what can be eaten cold and how to store an opened pack. A product being tinned or long-life does not remove these checks. [5]</w:t>
      </w:r>
    </w:p>
    <w:p>
      <w:pPr>
        <w:pStyle w:val="Heading2"/>
      </w:pPr>
      <w:r>
        <w:t>Foods that need cooking</w:t>
      </w:r>
    </w:p>
    <w:p>
      <w:r>
        <w:t>Rice, pasta, noodles, dried pulses, porridge and hot drinks can supplement the list when you have enough water and a safe way to prepare them. For a reserve intended to cover 14 days without power, plan a usable no-cook replacement for every meal that depends on heating. [1, 5, 6]</w:t>
      </w:r>
    </w:p>
    <w:p>
      <w:r>
        <w:br w:type="page"/>
      </w:r>
    </w:p>
    <w:p>
      <w:pPr>
        <w:pStyle w:val="Heading1"/>
      </w:pPr>
      <w:r>
        <w:t>Household equipment and hygiene</w:t>
      </w:r>
    </w:p>
    <w:p>
      <w:r>
        <w:t>Check equipment once for the household and plan consumables from normal use over 14 days. Keep useful items together and make sure everyone who needs them can find and operate them. These items complement the pantry rather than replacing a household emergency plan. [2, 4]</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792"/>
        <w:gridCol w:w="2952"/>
        <w:gridCol w:w="6336"/>
      </w:tblGrid>
      <w:tr>
        <w:trPr>
          <w:tblHeader/>
          <w:cantSplit/>
        </w:trPr>
        <w:tc>
          <w:tcPr>
            <w:tcW w:type="dxa" w:w="792"/>
            <w:vAlign w:val="center"/>
            <w:shd w:fill="233B50"/>
          </w:tcPr>
          <w:p>
            <w:pPr>
              <w:spacing w:after="0" w:before="0" w:line="245" w:lineRule="auto"/>
              <w:jc w:val="center"/>
            </w:pPr>
            <w:r>
              <w:rPr>
                <w:b/>
                <w:color w:val="FFFFFF"/>
                <w:sz w:val="21"/>
              </w:rPr>
              <w:t>Done</w:t>
            </w:r>
          </w:p>
        </w:tc>
        <w:tc>
          <w:tcPr>
            <w:tcW w:type="dxa" w:w="2952"/>
            <w:vAlign w:val="center"/>
            <w:shd w:fill="233B50"/>
          </w:tcPr>
          <w:p>
            <w:pPr>
              <w:spacing w:after="0" w:before="0" w:line="245" w:lineRule="auto"/>
            </w:pPr>
            <w:r>
              <w:rPr>
                <w:b/>
                <w:color w:val="FFFFFF"/>
                <w:sz w:val="21"/>
              </w:rPr>
              <w:t>Item</w:t>
            </w:r>
          </w:p>
        </w:tc>
        <w:tc>
          <w:tcPr>
            <w:tcW w:type="dxa" w:w="6336"/>
            <w:vAlign w:val="center"/>
            <w:shd w:fill="233B50"/>
          </w:tcPr>
          <w:p>
            <w:pPr>
              <w:spacing w:after="0" w:before="0" w:line="245" w:lineRule="auto"/>
            </w:pPr>
            <w:r>
              <w:rPr>
                <w:b/>
                <w:color w:val="FFFFFF"/>
                <w:sz w:val="21"/>
              </w:rPr>
              <w:t>What to check or allow for</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Manual tin opener</w:t>
            </w:r>
          </w:p>
        </w:tc>
        <w:tc>
          <w:tcPr>
            <w:tcW w:type="dxa" w:w="6336"/>
            <w:vAlign w:val="center"/>
            <w:shd w:fill="FFFFFF"/>
          </w:tcPr>
          <w:p>
            <w:pPr>
              <w:spacing w:after="0" w:before="0" w:line="245" w:lineRule="auto"/>
            </w:pPr>
            <w:r>
              <w:rPr>
                <w:color w:val="000000"/>
                <w:sz w:val="21"/>
              </w:rPr>
              <w:t>A working opener suitable for your tins, plus utensils, cups and plates.</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Torches or battery lanterns</w:t>
            </w:r>
          </w:p>
        </w:tc>
        <w:tc>
          <w:tcPr>
            <w:tcW w:type="dxa" w:w="6336"/>
            <w:vAlign w:val="center"/>
            <w:shd w:fill="F2F5F7"/>
          </w:tcPr>
          <w:p>
            <w:pPr>
              <w:spacing w:after="0" w:before="0" w:line="245" w:lineRule="auto"/>
            </w:pPr>
            <w:r>
              <w:rPr>
                <w:color w:val="000000"/>
                <w:sz w:val="21"/>
              </w:rPr>
              <w:t>Enough usable lighting for the household, with the correct spare batteries. Choose torches rather than candles. [1]</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Radio</w:t>
            </w:r>
          </w:p>
        </w:tc>
        <w:tc>
          <w:tcPr>
            <w:tcW w:type="dxa" w:w="6336"/>
            <w:vAlign w:val="center"/>
            <w:shd w:fill="FFFFFF"/>
          </w:tcPr>
          <w:p>
            <w:pPr>
              <w:spacing w:after="0" w:before="0" w:line="245" w:lineRule="auto"/>
            </w:pPr>
            <w:r>
              <w:rPr>
                <w:color w:val="000000"/>
                <w:sz w:val="21"/>
              </w:rPr>
              <w:t>A working battery or wind-up radio; write down a local news station and frequency. [1]</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Phone power banks and leads</w:t>
            </w:r>
          </w:p>
        </w:tc>
        <w:tc>
          <w:tcPr>
            <w:tcW w:type="dxa" w:w="6336"/>
            <w:vAlign w:val="center"/>
            <w:shd w:fill="F2F5F7"/>
          </w:tcPr>
          <w:p>
            <w:pPr>
              <w:spacing w:after="0" w:before="0" w:line="245" w:lineRule="auto"/>
            </w:pPr>
            <w:r>
              <w:rPr>
                <w:color w:val="000000"/>
                <w:sz w:val="21"/>
              </w:rPr>
              <w:t>Charge and test them. Keep the correct charging leads with them; capacity limits how long they will last.</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Warmth</w:t>
            </w:r>
          </w:p>
        </w:tc>
        <w:tc>
          <w:tcPr>
            <w:tcW w:type="dxa" w:w="6336"/>
            <w:vAlign w:val="center"/>
            <w:shd w:fill="FFFFFF"/>
          </w:tcPr>
          <w:p>
            <w:pPr>
              <w:spacing w:after="0" w:before="0" w:line="245" w:lineRule="auto"/>
            </w:pPr>
            <w:r>
              <w:rPr>
                <w:color w:val="000000"/>
                <w:sz w:val="21"/>
              </w:rPr>
              <w:t>Accessible warm layers, blankets or sleeping bags suitable for the people in your home.</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Toilet and personal hygiene</w:t>
            </w:r>
          </w:p>
        </w:tc>
        <w:tc>
          <w:tcPr>
            <w:tcW w:type="dxa" w:w="6336"/>
            <w:vAlign w:val="center"/>
            <w:shd w:fill="F2F5F7"/>
          </w:tcPr>
          <w:p>
            <w:pPr>
              <w:spacing w:after="0" w:before="0" w:line="245" w:lineRule="auto"/>
            </w:pPr>
            <w:r>
              <w:rPr>
                <w:color w:val="000000"/>
                <w:sz w:val="21"/>
              </w:rPr>
              <w:t>Your normal two-week use of toilet roll, soap, toothpaste, toothbrushes, menstrual or continence products.</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Cleaning and waste supplies</w:t>
            </w:r>
          </w:p>
        </w:tc>
        <w:tc>
          <w:tcPr>
            <w:tcW w:type="dxa" w:w="6336"/>
            <w:vAlign w:val="center"/>
            <w:shd w:fill="FFFFFF"/>
          </w:tcPr>
          <w:p>
            <w:pPr>
              <w:spacing w:after="0" w:before="0" w:line="245" w:lineRule="auto"/>
            </w:pPr>
            <w:r>
              <w:rPr>
                <w:color w:val="000000"/>
                <w:sz w:val="21"/>
              </w:rPr>
              <w:t>Washing-up liquid, usual cleaning products, bin bags and suitable wipes. Keep chemicals separate from food.</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Hand hygiene supplies</w:t>
            </w:r>
          </w:p>
        </w:tc>
        <w:tc>
          <w:tcPr>
            <w:tcW w:type="dxa" w:w="6336"/>
            <w:vAlign w:val="center"/>
            <w:shd w:fill="F2F5F7"/>
          </w:tcPr>
          <w:p>
            <w:pPr>
              <w:spacing w:after="0" w:before="0" w:line="245" w:lineRule="auto"/>
            </w:pPr>
            <w:r>
              <w:rPr>
                <w:color w:val="000000"/>
                <w:sz w:val="21"/>
              </w:rPr>
              <w:t>Soap, safe water and hand sanitiser. Keep them accessible when supplies are disrupted.</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First aid kit</w:t>
            </w:r>
          </w:p>
        </w:tc>
        <w:tc>
          <w:tcPr>
            <w:tcW w:type="dxa" w:w="6336"/>
            <w:vAlign w:val="center"/>
            <w:shd w:fill="FFFFFF"/>
          </w:tcPr>
          <w:p>
            <w:pPr>
              <w:spacing w:after="0" w:before="0" w:line="245" w:lineRule="auto"/>
            </w:pPr>
            <w:r>
              <w:rPr>
                <w:color w:val="000000"/>
                <w:sz w:val="21"/>
              </w:rPr>
              <w:t>Check dressings, plasters, gloves and other familiar supplies. Replace anything used, damaged or out of date.</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Paper contacts and documents</w:t>
            </w:r>
          </w:p>
        </w:tc>
        <w:tc>
          <w:tcPr>
            <w:tcW w:type="dxa" w:w="6336"/>
            <w:vAlign w:val="center"/>
            <w:shd w:fill="F2F5F7"/>
          </w:tcPr>
          <w:p>
            <w:pPr>
              <w:spacing w:after="0" w:before="0" w:line="245" w:lineRule="auto"/>
            </w:pPr>
            <w:r>
              <w:rPr>
                <w:color w:val="000000"/>
                <w:sz w:val="21"/>
              </w:rPr>
              <w:t>Emergency contacts, utility contacts, relevant care information and essential document copies kept securely.</w:t>
            </w:r>
          </w:p>
        </w:tc>
      </w:tr>
      <w:tr>
        <w:trPr>
          <w:cantSplit/>
        </w:trPr>
        <w:tc>
          <w:tcPr>
            <w:tcW w:type="dxa" w:w="792"/>
            <w:vAlign w:val="center"/>
            <w:shd w:fill="FFFFFF"/>
          </w:tcPr>
          <w:p>
            <w:pPr>
              <w:spacing w:after="0" w:before="0" w:line="245" w:lineRule="auto"/>
              <w:jc w:val="center"/>
            </w:pPr>
            <w:r>
              <w:rPr>
                <w:rFonts w:ascii="DejaVu Sans" w:hAnsi="DejaVu Sans"/>
                <w:color w:val="000000"/>
                <w:sz w:val="21"/>
              </w:rPr>
              <w:t>☐</w:t>
            </w:r>
          </w:p>
        </w:tc>
        <w:tc>
          <w:tcPr>
            <w:tcW w:type="dxa" w:w="2952"/>
            <w:vAlign w:val="center"/>
            <w:shd w:fill="FFFFFF"/>
          </w:tcPr>
          <w:p>
            <w:pPr>
              <w:spacing w:after="0" w:before="0" w:line="245" w:lineRule="auto"/>
            </w:pPr>
            <w:r>
              <w:rPr>
                <w:color w:val="000000"/>
                <w:sz w:val="21"/>
              </w:rPr>
              <w:t>Payment backup and keys</w:t>
            </w:r>
          </w:p>
        </w:tc>
        <w:tc>
          <w:tcPr>
            <w:tcW w:type="dxa" w:w="6336"/>
            <w:vAlign w:val="center"/>
            <w:shd w:fill="FFFFFF"/>
          </w:tcPr>
          <w:p>
            <w:pPr>
              <w:spacing w:after="0" w:before="0" w:line="245" w:lineRule="auto"/>
            </w:pPr>
            <w:r>
              <w:rPr>
                <w:color w:val="000000"/>
                <w:sz w:val="21"/>
              </w:rPr>
              <w:t>A small amount of cash you can afford, in useful denominations, and accessible spare keys.</w:t>
            </w:r>
          </w:p>
        </w:tc>
      </w:tr>
      <w:tr>
        <w:trPr>
          <w:cantSplit/>
        </w:trPr>
        <w:tc>
          <w:tcPr>
            <w:tcW w:type="dxa" w:w="792"/>
            <w:vAlign w:val="center"/>
            <w:shd w:fill="F2F5F7"/>
          </w:tcPr>
          <w:p>
            <w:pPr>
              <w:spacing w:after="0" w:before="0" w:line="245" w:lineRule="auto"/>
              <w:jc w:val="center"/>
            </w:pPr>
            <w:r>
              <w:rPr>
                <w:rFonts w:ascii="DejaVu Sans" w:hAnsi="DejaVu Sans"/>
                <w:color w:val="000000"/>
                <w:sz w:val="21"/>
              </w:rPr>
              <w:t>☐</w:t>
            </w:r>
          </w:p>
        </w:tc>
        <w:tc>
          <w:tcPr>
            <w:tcW w:type="dxa" w:w="2952"/>
            <w:vAlign w:val="center"/>
            <w:shd w:fill="F2F5F7"/>
          </w:tcPr>
          <w:p>
            <w:pPr>
              <w:spacing w:after="0" w:before="0" w:line="245" w:lineRule="auto"/>
            </w:pPr>
            <w:r>
              <w:rPr>
                <w:color w:val="000000"/>
                <w:sz w:val="21"/>
              </w:rPr>
              <w:t>Smoke and carbon monoxide alarms</w:t>
            </w:r>
          </w:p>
        </w:tc>
        <w:tc>
          <w:tcPr>
            <w:tcW w:type="dxa" w:w="6336"/>
            <w:vAlign w:val="center"/>
            <w:shd w:fill="F2F5F7"/>
          </w:tcPr>
          <w:p>
            <w:pPr>
              <w:spacing w:after="0" w:before="0" w:line="245" w:lineRule="auto"/>
            </w:pPr>
            <w:r>
              <w:rPr>
                <w:color w:val="000000"/>
                <w:sz w:val="21"/>
              </w:rPr>
              <w:t>Check alarms work and follow their maintenance instructions. Alarms do not make unsafe cooking arrangements safe. [7]</w:t>
            </w:r>
          </w:p>
        </w:tc>
      </w:tr>
    </w:tbl>
    <w:p>
      <w:pPr>
        <w:spacing w:after="20"/>
      </w:pPr>
      <w:r/>
    </w:p>
    <w:p>
      <w:pPr>
        <w:pStyle w:val="Heading2"/>
      </w:pPr>
      <w:r>
        <w:t>Build the reserve without waste</w:t>
      </w:r>
    </w:p>
    <w:p>
      <w:r>
        <w:t>Check cupboards before buying anything. Add useful items during ordinary shopping, use the oldest suitable stock first and replace what you use. Start with three days, then seven, then fourteen if practical. A smaller, usable reserve is still progress. Set a reminder to review the kit every six months and whenever household needs change. [1, 2]</w:t>
      </w:r>
    </w:p>
    <w:p>
      <w:r>
        <w:br w:type="page"/>
      </w:r>
    </w:p>
    <w:p>
      <w:pPr>
        <w:pStyle w:val="Heading1"/>
      </w:pPr>
      <w:r>
        <w:t>Adapt the list to your household</w:t>
      </w:r>
    </w:p>
    <w:p>
      <w:pPr>
        <w:spacing w:after="120"/>
        <w:ind w:left="259" w:hanging="259"/>
      </w:pPr>
      <w:r>
        <w:rPr>
          <w:rFonts w:ascii="DejaVu Sans" w:hAnsi="DejaVu Sans"/>
        </w:rPr>
        <w:t xml:space="preserve">☐  </w:t>
      </w:r>
      <w:r>
        <w:t>Medicines and medical supplies: keep an accurate medication list, order repeats in good time and ask a pharmacist or prescriber how to maintain access during disruption. Follow the prescribed dose and storage conditions; do not obtain extra medicine simply to meet a generic 14-day target. [1, 4]</w:t>
      </w:r>
    </w:p>
    <w:p>
      <w:pPr>
        <w:spacing w:after="120"/>
        <w:ind w:left="259" w:hanging="259"/>
      </w:pPr>
      <w:r>
        <w:rPr>
          <w:rFonts w:ascii="DejaVu Sans" w:hAnsi="DejaVu Sans"/>
        </w:rPr>
        <w:t xml:space="preserve">☐  </w:t>
      </w:r>
      <w:r>
        <w:t>Essential equipment: agree a backup plan with the care team or supplier for equipment that needs power or water. Include spare glasses, hearing-aid batteries and other aids you rely on. A normal phone power bank may not power medical equipment. [3, 4]</w:t>
      </w:r>
    </w:p>
    <w:p>
      <w:pPr>
        <w:spacing w:after="120"/>
        <w:ind w:left="259" w:hanging="259"/>
      </w:pPr>
      <w:r>
        <w:rPr>
          <w:rFonts w:ascii="DejaVu Sans" w:hAnsi="DejaVu Sans"/>
        </w:rPr>
        <w:t xml:space="preserve">☐  </w:t>
      </w:r>
      <w:r>
        <w:t>Babies: plan the baby's established feeding supplies, suitable food where needed, nappies and wipes. Ready-to-feed formula can help if you cannot boil water, but feeding equipment still needs sterilising. Follow NHS and product instructions for opened formula and discard leftovers after a feed. [1, 8]</w:t>
      </w:r>
    </w:p>
    <w:p>
      <w:pPr>
        <w:spacing w:after="120"/>
        <w:ind w:left="259" w:hanging="259"/>
      </w:pPr>
      <w:r>
        <w:rPr>
          <w:rFonts w:ascii="DejaVu Sans" w:hAnsi="DejaVu Sans"/>
        </w:rPr>
        <w:t xml:space="preserve">☐  </w:t>
      </w:r>
      <w:r>
        <w:t>Children and dietary needs: include familiar, age-appropriate food and any allergy-safe or medically required alternatives. Use each person's normal needs; do not automatically halve adult quantities for a child.</w:t>
      </w:r>
    </w:p>
    <w:p>
      <w:pPr>
        <w:spacing w:after="120"/>
        <w:ind w:left="259" w:hanging="259"/>
      </w:pPr>
      <w:r>
        <w:rPr>
          <w:rFonts w:ascii="DejaVu Sans" w:hAnsi="DejaVu Sans"/>
        </w:rPr>
        <w:t xml:space="preserve">☐  </w:t>
      </w:r>
      <w:r>
        <w:t>Pets and assistance animals: allow for 14 days of their usual food and necessary hygiene supplies. Add their drinking water separately and plan medicines with the vet. [2, 4]</w:t>
      </w:r>
    </w:p>
    <w:p>
      <w:pPr>
        <w:spacing w:after="120"/>
        <w:ind w:left="259" w:hanging="259"/>
      </w:pPr>
      <w:r>
        <w:rPr>
          <w:rFonts w:ascii="DejaVu Sans" w:hAnsi="DejaVu Sans"/>
        </w:rPr>
        <w:t xml:space="preserve">☐  </w:t>
      </w:r>
      <w:r>
        <w:t>Support and access: make instructions readable and accessible, agree who can check on you and consider the relevant utility support register. England, Scotland and Wales use Priority Services Registers; Northern Ireland uses Customer Care Registers. [1, 4]</w:t>
      </w:r>
    </w:p>
    <w:p>
      <w:pPr>
        <w:pStyle w:val="Heading1"/>
      </w:pPr>
      <w:r>
        <w:t>Keep the food usable and safe</w:t>
      </w:r>
    </w:p>
    <w:p>
      <w:r>
        <w:t>Before storing it, check the packaging, dates and storage requirements. Avoid bulging or leaking cans and cans with damage that compromises the seal. Keep supplies in a suitable dry place. Follow use-by dates and all instructions for storage after opening. [5]</w:t>
      </w:r>
    </w:p>
    <w:p>
      <w:r>
        <w:t>Without refrigeration, open only the amount you can use safely at that meal. Long-life milk, many jars and ready meals may need chilling after opening. Do not treat an opened pack as safe for the rest of the two-week period. [5, 8]</w:t>
      </w:r>
    </w:p>
    <w:p>
      <w:r>
        <w:t>During a power cut, keep fridge and freezer doors closed as much as possible and follow current Food Standards Agency advice. Their storage times are estimates and depend on temperatures and conditions. Use perishable food only while it remains safe; do not rely on smell to check food with a use-by date. [5, 6]</w:t>
      </w:r>
    </w:p>
    <w:p>
      <w:r>
        <w:rPr>
          <w:b/>
        </w:rPr>
        <w:t>Never use a barbecue or camping stove indoors or in a tent.</w:t>
      </w:r>
      <w:r>
        <w:t xml:space="preserve"> Keep fuel-burning generators outside, away from doors, windows and vents, following the manufacturer's instructions. Carbon monoxide can be fatal. [7, 9]</w:t>
      </w:r>
    </w:p>
    <w:p>
      <w:r>
        <w:t>During a water outage, follow your water supplier's instructions about drinking, boiling or avoiding tap water. Use the drinking-water reserve for essential needs and seek help early if it is running low. [3]</w:t>
      </w:r>
    </w:p>
    <w:p>
      <w:r>
        <w:br w:type="page"/>
      </w:r>
    </w:p>
    <w:p>
      <w:pPr>
        <w:pStyle w:val="Heading1"/>
      </w:pPr>
      <w:r>
        <w:t>Work out what you still need</w:t>
      </w:r>
    </w:p>
    <w:p>
      <w:r>
        <w:t>List every ingredient in your meal plan and every consumable you need. Use the same units for each item, such as litres, grams, packs or nappies. For an item used daily, multiply normal daily use by 14. For an ingredient used occasionally, count only the meals in which you use it.</w:t>
      </w:r>
    </w:p>
    <w:p>
      <w:r>
        <w:t>Example: if one person normally uses 50 g of cereal and 200 ml of milk each morning, 14 breakfasts need 700 g of cereal and 2.8 litres of milk. This is an arithmetic example, not a recommended portion size. Choose milk packs that can be finished safely without refrigeration.</w:t>
      </w:r>
    </w:p>
    <w:p>
      <w:r>
        <w:t>Still needed = planned quantity minus usable stock already at home, with a minimum of zero. Round shopping quantities up to suitable pack sizes. Medicines and specialist care supplies follow their own agreed plan. Add one row for each ingredient or product, using the same unit across that row.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80" w:type="dxa"/>
          <w:bottom w:w="80" w:type="dxa"/>
          <w:left w:w="90" w:type="dxa"/>
          <w:right w:w="90" w:type="dxa"/>
        </w:tblCellMar>
      </w:tblPr>
      <w:tblGrid>
        <w:gridCol w:w="3024"/>
        <w:gridCol w:w="2736"/>
        <w:gridCol w:w="2160"/>
        <w:gridCol w:w="2160"/>
      </w:tblGrid>
      <w:tr>
        <w:trPr>
          <w:tblHeader/>
          <w:cantSplit/>
        </w:trPr>
        <w:tc>
          <w:tcPr>
            <w:tcW w:type="dxa" w:w="3024"/>
            <w:vAlign w:val="center"/>
            <w:shd w:fill="233B50"/>
          </w:tcPr>
          <w:p>
            <w:pPr>
              <w:spacing w:after="0" w:before="0" w:line="245" w:lineRule="auto"/>
            </w:pPr>
            <w:r>
              <w:rPr>
                <w:b/>
                <w:color w:val="FFFFFF"/>
                <w:sz w:val="21"/>
              </w:rPr>
              <w:t>Item</w:t>
            </w:r>
          </w:p>
        </w:tc>
        <w:tc>
          <w:tcPr>
            <w:tcW w:type="dxa" w:w="2736"/>
            <w:vAlign w:val="center"/>
            <w:shd w:fill="233B50"/>
          </w:tcPr>
          <w:p>
            <w:pPr>
              <w:spacing w:after="0" w:before="0" w:line="245" w:lineRule="auto"/>
              <w:jc w:val="center"/>
            </w:pPr>
            <w:r>
              <w:rPr>
                <w:b/>
                <w:color w:val="FFFFFF"/>
                <w:sz w:val="21"/>
              </w:rPr>
              <w:t>Planned quantity</w:t>
            </w:r>
          </w:p>
        </w:tc>
        <w:tc>
          <w:tcPr>
            <w:tcW w:type="dxa" w:w="2160"/>
            <w:vAlign w:val="center"/>
            <w:shd w:fill="233B50"/>
          </w:tcPr>
          <w:p>
            <w:pPr>
              <w:spacing w:after="0" w:before="0" w:line="245" w:lineRule="auto"/>
              <w:jc w:val="center"/>
            </w:pPr>
            <w:r>
              <w:rPr>
                <w:b/>
                <w:color w:val="FFFFFF"/>
                <w:sz w:val="21"/>
              </w:rPr>
              <w:t>Already have</w:t>
            </w:r>
          </w:p>
        </w:tc>
        <w:tc>
          <w:tcPr>
            <w:tcW w:type="dxa" w:w="2160"/>
            <w:vAlign w:val="center"/>
            <w:shd w:fill="233B50"/>
          </w:tcPr>
          <w:p>
            <w:pPr>
              <w:spacing w:after="0" w:before="0" w:line="245" w:lineRule="auto"/>
              <w:jc w:val="center"/>
            </w:pPr>
            <w:r>
              <w:rPr>
                <w:b/>
                <w:color w:val="FFFFFF"/>
                <w:sz w:val="21"/>
              </w:rPr>
              <w:t>Still need</w:t>
            </w:r>
          </w:p>
        </w:tc>
      </w:tr>
      <w:tr>
        <w:trPr>
          <w:cantSplit/>
        </w:trPr>
        <w:tc>
          <w:tcPr>
            <w:tcW w:type="dxa" w:w="3024"/>
            <w:vAlign w:val="center"/>
            <w:shd w:fill="FFFFFF"/>
          </w:tcPr>
          <w:p>
            <w:pPr>
              <w:spacing w:after="0" w:before="0" w:line="245" w:lineRule="auto"/>
            </w:pPr>
            <w:r>
              <w:rPr>
                <w:color w:val="000000"/>
                <w:sz w:val="21"/>
              </w:rPr>
              <w:t>Drinking water</w:t>
            </w:r>
          </w:p>
        </w:tc>
        <w:tc>
          <w:tcPr>
            <w:tcW w:type="dxa" w:w="2736"/>
            <w:vAlign w:val="center"/>
            <w:shd w:fill="FFFFFF"/>
          </w:tcPr>
          <w:p>
            <w:pPr>
              <w:spacing w:after="0" w:before="0" w:line="245" w:lineRule="auto"/>
              <w:jc w:val="center"/>
            </w:pPr>
            <w:r>
              <w:rPr>
                <w:color w:val="000000"/>
                <w:sz w:val="21"/>
              </w:rPr>
              <w:t>42 litres × people</w:t>
            </w:r>
          </w:p>
        </w:tc>
        <w:tc>
          <w:tcPr>
            <w:tcW w:type="dxa" w:w="2160"/>
            <w:vAlign w:val="center"/>
            <w:shd w:fill="FFFFFF"/>
          </w:tcPr>
          <w:p>
            <w:pPr>
              <w:spacing w:after="0" w:before="0" w:line="245" w:lineRule="auto"/>
              <w:jc w:val="center"/>
            </w:pPr>
            <w:r>
              <w:rPr>
                <w:color w:val="000000"/>
                <w:sz w:val="21"/>
              </w:rPr>
            </w:r>
          </w:p>
        </w:tc>
        <w:tc>
          <w:tcPr>
            <w:tcW w:type="dxa" w:w="2160"/>
            <w:vAlign w:val="center"/>
            <w:shd w:fill="FFFFFF"/>
          </w:tcPr>
          <w:p>
            <w:pPr>
              <w:spacing w:after="0" w:before="0" w:line="245" w:lineRule="auto"/>
              <w:jc w:val="center"/>
            </w:pPr>
            <w:r>
              <w:rPr>
                <w:color w:val="000000"/>
                <w:sz w:val="21"/>
              </w:rPr>
            </w:r>
          </w:p>
        </w:tc>
      </w:tr>
      <w:tr>
        <w:trPr>
          <w:cantSplit/>
        </w:trPr>
        <w:tc>
          <w:tcPr>
            <w:tcW w:type="dxa" w:w="3024"/>
            <w:vAlign w:val="center"/>
            <w:shd w:fill="F2F5F7"/>
          </w:tcPr>
          <w:p>
            <w:pPr>
              <w:spacing w:after="0" w:before="0" w:line="245" w:lineRule="auto"/>
            </w:pPr>
            <w:r>
              <w:rPr>
                <w:color w:val="000000"/>
                <w:sz w:val="21"/>
              </w:rPr>
              <w:t>Extra water</w:t>
            </w:r>
          </w:p>
        </w:tc>
        <w:tc>
          <w:tcPr>
            <w:tcW w:type="dxa" w:w="2736"/>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r>
      <w:tr>
        <w:trPr>
          <w:cantSplit/>
        </w:trPr>
        <w:tc>
          <w:tcPr>
            <w:tcW w:type="dxa" w:w="3024"/>
            <w:vAlign w:val="center"/>
            <w:shd w:fill="FFFFFF"/>
          </w:tcPr>
          <w:p>
            <w:pPr>
              <w:spacing w:after="0" w:before="0" w:line="245" w:lineRule="auto"/>
            </w:pPr>
            <w:r>
              <w:rPr>
                <w:color w:val="000000"/>
                <w:sz w:val="21"/>
              </w:rPr>
              <w:t>Cereal or other breakfast</w:t>
            </w:r>
          </w:p>
        </w:tc>
        <w:tc>
          <w:tcPr>
            <w:tcW w:type="dxa" w:w="2736"/>
            <w:vAlign w:val="center"/>
            <w:shd w:fill="FFFFFF"/>
          </w:tcPr>
          <w:p>
            <w:pPr>
              <w:spacing w:after="0" w:before="0" w:line="245" w:lineRule="auto"/>
              <w:jc w:val="center"/>
            </w:pPr>
            <w:r>
              <w:rPr>
                <w:color w:val="000000"/>
                <w:sz w:val="21"/>
              </w:rPr>
            </w:r>
          </w:p>
        </w:tc>
        <w:tc>
          <w:tcPr>
            <w:tcW w:type="dxa" w:w="2160"/>
            <w:vAlign w:val="center"/>
            <w:shd w:fill="FFFFFF"/>
          </w:tcPr>
          <w:p>
            <w:pPr>
              <w:spacing w:after="0" w:before="0" w:line="245" w:lineRule="auto"/>
              <w:jc w:val="center"/>
            </w:pPr>
            <w:r>
              <w:rPr>
                <w:color w:val="000000"/>
                <w:sz w:val="21"/>
              </w:rPr>
            </w:r>
          </w:p>
        </w:tc>
        <w:tc>
          <w:tcPr>
            <w:tcW w:type="dxa" w:w="2160"/>
            <w:vAlign w:val="center"/>
            <w:shd w:fill="FFFFFF"/>
          </w:tcPr>
          <w:p>
            <w:pPr>
              <w:spacing w:after="0" w:before="0" w:line="245" w:lineRule="auto"/>
              <w:jc w:val="center"/>
            </w:pPr>
            <w:r>
              <w:rPr>
                <w:color w:val="000000"/>
                <w:sz w:val="21"/>
              </w:rPr>
            </w:r>
          </w:p>
        </w:tc>
      </w:tr>
      <w:tr>
        <w:trPr>
          <w:cantSplit/>
        </w:trPr>
        <w:tc>
          <w:tcPr>
            <w:tcW w:type="dxa" w:w="3024"/>
            <w:vAlign w:val="center"/>
            <w:shd w:fill="F2F5F7"/>
          </w:tcPr>
          <w:p>
            <w:pPr>
              <w:spacing w:after="0" w:before="0" w:line="245" w:lineRule="auto"/>
            </w:pPr>
            <w:r>
              <w:rPr>
                <w:color w:val="000000"/>
                <w:sz w:val="21"/>
              </w:rPr>
              <w:t>Milk or alternative</w:t>
            </w:r>
          </w:p>
        </w:tc>
        <w:tc>
          <w:tcPr>
            <w:tcW w:type="dxa" w:w="2736"/>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r>
      <w:tr>
        <w:trPr>
          <w:cantSplit/>
        </w:trPr>
        <w:tc>
          <w:tcPr>
            <w:tcW w:type="dxa" w:w="3024"/>
            <w:vAlign w:val="center"/>
            <w:shd w:fill="FFFFFF"/>
          </w:tcPr>
          <w:p>
            <w:pPr>
              <w:spacing w:after="0" w:before="0" w:line="245" w:lineRule="auto"/>
            </w:pPr>
            <w:r>
              <w:rPr>
                <w:color w:val="000000"/>
                <w:sz w:val="21"/>
              </w:rPr>
              <w:t>Main meal ingredient</w:t>
            </w:r>
          </w:p>
        </w:tc>
        <w:tc>
          <w:tcPr>
            <w:tcW w:type="dxa" w:w="2736"/>
            <w:vAlign w:val="center"/>
            <w:shd w:fill="FFFFFF"/>
          </w:tcPr>
          <w:p>
            <w:pPr>
              <w:spacing w:after="0" w:before="0" w:line="245" w:lineRule="auto"/>
              <w:jc w:val="center"/>
            </w:pPr>
            <w:r>
              <w:rPr>
                <w:color w:val="000000"/>
                <w:sz w:val="21"/>
              </w:rPr>
            </w:r>
          </w:p>
        </w:tc>
        <w:tc>
          <w:tcPr>
            <w:tcW w:type="dxa" w:w="2160"/>
            <w:vAlign w:val="center"/>
            <w:shd w:fill="FFFFFF"/>
          </w:tcPr>
          <w:p>
            <w:pPr>
              <w:spacing w:after="0" w:before="0" w:line="245" w:lineRule="auto"/>
              <w:jc w:val="center"/>
            </w:pPr>
            <w:r>
              <w:rPr>
                <w:color w:val="000000"/>
                <w:sz w:val="21"/>
              </w:rPr>
            </w:r>
          </w:p>
        </w:tc>
        <w:tc>
          <w:tcPr>
            <w:tcW w:type="dxa" w:w="2160"/>
            <w:vAlign w:val="center"/>
            <w:shd w:fill="FFFFFF"/>
          </w:tcPr>
          <w:p>
            <w:pPr>
              <w:spacing w:after="0" w:before="0" w:line="245" w:lineRule="auto"/>
              <w:jc w:val="center"/>
            </w:pPr>
            <w:r>
              <w:rPr>
                <w:color w:val="000000"/>
                <w:sz w:val="21"/>
              </w:rPr>
            </w:r>
          </w:p>
        </w:tc>
      </w:tr>
      <w:tr>
        <w:trPr>
          <w:cantSplit/>
        </w:trPr>
        <w:tc>
          <w:tcPr>
            <w:tcW w:type="dxa" w:w="3024"/>
            <w:vAlign w:val="center"/>
            <w:shd w:fill="F2F5F7"/>
          </w:tcPr>
          <w:p>
            <w:pPr>
              <w:spacing w:after="0" w:before="0" w:line="245" w:lineRule="auto"/>
            </w:pPr>
            <w:r>
              <w:rPr>
                <w:color w:val="000000"/>
                <w:sz w:val="21"/>
              </w:rPr>
              <w:t>Other product</w:t>
            </w:r>
          </w:p>
        </w:tc>
        <w:tc>
          <w:tcPr>
            <w:tcW w:type="dxa" w:w="2736"/>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c>
          <w:tcPr>
            <w:tcW w:type="dxa" w:w="2160"/>
            <w:vAlign w:val="center"/>
            <w:shd w:fill="F2F5F7"/>
          </w:tcPr>
          <w:p>
            <w:pPr>
              <w:spacing w:after="0" w:before="0" w:line="245" w:lineRule="auto"/>
              <w:jc w:val="center"/>
            </w:pPr>
            <w:r>
              <w:rPr>
                <w:color w:val="000000"/>
                <w:sz w:val="21"/>
              </w:rPr>
            </w:r>
          </w:p>
        </w:tc>
      </w:tr>
    </w:tbl>
    <w:p>
      <w:pPr>
        <w:spacing w:after="20"/>
      </w:pPr>
      <w:r/>
    </w:p>
    <w:p>
      <w:r>
        <w:rPr>
          <w:sz w:val="20"/>
        </w:rPr>
        <w:t>Household size __________    Checked on __________    Next review __________</w:t>
      </w:r>
    </w:p>
    <w:p>
      <w:pPr>
        <w:pStyle w:val="Heading2"/>
      </w:pPr>
      <w:r>
        <w:t>Sources and further guidance</w:t>
      </w:r>
    </w:p>
    <w:p>
      <w:r>
        <w:rPr>
          <w:sz w:val="20"/>
        </w:rPr>
        <w:t>Sources checked on 1 November 2026. Numbers in the text refer to the links below. The 14-day meal counts, calculation examples and shopping worksheet are UK Ready planning aids. Adapt them to your household; they do not certify nutritional adequacy or replace individual care advice.</w:t>
      </w:r>
    </w:p>
    <w:p>
      <w:pPr>
        <w:spacing w:after="80" w:line="240" w:lineRule="auto"/>
      </w:pPr>
      <w:r>
        <w:rPr>
          <w:sz w:val="19"/>
        </w:rPr>
        <w:t xml:space="preserve">[1] </w:t>
      </w:r>
      <w:hyperlink r:id="rId9">
        <w:r>
          <w:rPr>
            <w:color w:val="174E70"/>
            <w:u w:val="single"/>
          </w:rPr>
          <w:t>UK Government Be Ready checklist</w:t>
        </w:r>
      </w:hyperlink>
      <w:r>
        <w:rPr>
          <w:sz w:val="19"/>
        </w:rPr>
        <w:t>. Three-day starting point, drinking water and general household preparation.</w:t>
      </w:r>
    </w:p>
    <w:p>
      <w:pPr>
        <w:spacing w:after="80" w:line="240" w:lineRule="auto"/>
      </w:pPr>
      <w:r>
        <w:rPr>
          <w:sz w:val="19"/>
        </w:rPr>
        <w:t xml:space="preserve">[2] </w:t>
      </w:r>
      <w:hyperlink r:id="rId10">
        <w:r>
          <w:rPr>
            <w:color w:val="174E70"/>
            <w:u w:val="single"/>
          </w:rPr>
          <w:t>Emergency Pantry List hosted by NSW Health</w:t>
        </w:r>
      </w:hyperlink>
      <w:r>
        <w:rPr>
          <w:sz w:val="19"/>
        </w:rPr>
        <w:t>. Original 14-day pantry framework; prepared by the Australian food and grocery sector. UK guidance is used here for safety advice.</w:t>
      </w:r>
    </w:p>
    <w:p>
      <w:pPr>
        <w:spacing w:after="80" w:line="240" w:lineRule="auto"/>
      </w:pPr>
      <w:r>
        <w:rPr>
          <w:sz w:val="19"/>
        </w:rPr>
        <w:t xml:space="preserve">[3] </w:t>
      </w:r>
      <w:hyperlink r:id="rId11">
        <w:r>
          <w:rPr>
            <w:color w:val="174E70"/>
            <w:u w:val="single"/>
          </w:rPr>
          <w:t>UK Government guidance on water supply outages</w:t>
        </w:r>
      </w:hyperlink>
      <w:r>
        <w:rPr>
          <w:sz w:val="19"/>
        </w:rPr>
        <w:t>. Extra water needs, supplier information and care planning.</w:t>
      </w:r>
    </w:p>
    <w:p>
      <w:pPr>
        <w:spacing w:after="80" w:line="240" w:lineRule="auto"/>
      </w:pPr>
      <w:r>
        <w:rPr>
          <w:sz w:val="19"/>
        </w:rPr>
        <w:t xml:space="preserve">[4] </w:t>
      </w:r>
      <w:hyperlink r:id="rId12">
        <w:r>
          <w:rPr>
            <w:color w:val="174E70"/>
            <w:u w:val="single"/>
          </w:rPr>
          <w:t>Ready Scotland guidance on making an emergency kit</w:t>
        </w:r>
      </w:hyperlink>
      <w:r>
        <w:rPr>
          <w:sz w:val="19"/>
        </w:rPr>
        <w:t>. Equipment, access needs and household supplies.</w:t>
      </w:r>
    </w:p>
    <w:p>
      <w:pPr>
        <w:spacing w:after="80" w:line="240" w:lineRule="auto"/>
      </w:pPr>
      <w:r>
        <w:rPr>
          <w:sz w:val="19"/>
        </w:rPr>
        <w:t xml:space="preserve">[5] </w:t>
      </w:r>
      <w:hyperlink r:id="rId13">
        <w:r>
          <w:rPr>
            <w:color w:val="174E70"/>
            <w:u w:val="single"/>
          </w:rPr>
          <w:t>Food Standards Agency Home food fact checker</w:t>
        </w:r>
      </w:hyperlink>
      <w:r>
        <w:rPr>
          <w:sz w:val="19"/>
        </w:rPr>
        <w:t>. Tinned food, food labels and storage.</w:t>
      </w:r>
    </w:p>
    <w:p>
      <w:pPr>
        <w:spacing w:after="80" w:line="240" w:lineRule="auto"/>
      </w:pPr>
      <w:r>
        <w:rPr>
          <w:sz w:val="19"/>
        </w:rPr>
        <w:t xml:space="preserve">[6] </w:t>
      </w:r>
      <w:hyperlink r:id="rId14">
        <w:r>
          <w:rPr>
            <w:color w:val="174E70"/>
            <w:u w:val="single"/>
          </w:rPr>
          <w:t>Food Standards Agency food safety in a power cut</w:t>
        </w:r>
      </w:hyperlink>
      <w:r>
        <w:rPr>
          <w:sz w:val="19"/>
        </w:rPr>
        <w:t>. Temperature, refrigeration and safe preparation.</w:t>
      </w:r>
    </w:p>
    <w:p>
      <w:pPr>
        <w:spacing w:after="80" w:line="240" w:lineRule="auto"/>
      </w:pPr>
      <w:r>
        <w:rPr>
          <w:sz w:val="19"/>
        </w:rPr>
        <w:t xml:space="preserve">[7] </w:t>
      </w:r>
      <w:hyperlink r:id="rId15">
        <w:r>
          <w:rPr>
            <w:color w:val="174E70"/>
            <w:u w:val="single"/>
          </w:rPr>
          <w:t>NHS guidance on carbon monoxide poisoning</w:t>
        </w:r>
      </w:hyperlink>
      <w:r>
        <w:rPr>
          <w:sz w:val="19"/>
        </w:rPr>
        <w:t>. Cooking appliances, generators and carbon monoxide risks.</w:t>
      </w:r>
    </w:p>
    <w:p>
      <w:pPr>
        <w:spacing w:after="80" w:line="240" w:lineRule="auto"/>
      </w:pPr>
      <w:r>
        <w:rPr>
          <w:sz w:val="19"/>
        </w:rPr>
        <w:t xml:space="preserve">[8] </w:t>
      </w:r>
      <w:hyperlink r:id="rId16">
        <w:r>
          <w:rPr>
            <w:color w:val="174E70"/>
            <w:u w:val="single"/>
          </w:rPr>
          <w:t>NHS guidance on using infant formula</w:t>
        </w:r>
      </w:hyperlink>
      <w:r>
        <w:rPr>
          <w:sz w:val="19"/>
        </w:rPr>
        <w:t>. Sterilising feeding equipment and handling ready-to-feed formula.</w:t>
      </w:r>
    </w:p>
    <w:p>
      <w:pPr>
        <w:spacing w:after="80" w:line="240" w:lineRule="auto"/>
      </w:pPr>
      <w:r>
        <w:rPr>
          <w:sz w:val="19"/>
        </w:rPr>
        <w:t xml:space="preserve">[9] </w:t>
      </w:r>
      <w:hyperlink r:id="rId17">
        <w:r>
          <w:rPr>
            <w:color w:val="174E70"/>
            <w:u w:val="single"/>
          </w:rPr>
          <w:t>HSENI advice on portable generator safety</w:t>
        </w:r>
      </w:hyperlink>
      <w:r>
        <w:rPr>
          <w:sz w:val="19"/>
        </w:rPr>
        <w:t>. Safe outdoor placement and manufacturer instructions.</w:t>
      </w:r>
    </w:p>
    <w:p>
      <w:r>
        <w:rPr>
          <w:sz w:val="20"/>
        </w:rPr>
        <w:t>UK Ready is an independent information service. In an emergency, follow instructions from the relevant authorities. If someone is in immediate danger, call 999.</w:t>
      </w:r>
    </w:p>
    <w:sectPr w:rsidR="00FC693F" w:rsidRPr="0006063C" w:rsidSect="00034616">
      <w:footerReference w:type="default" r:id="rId18"/>
      <w:pgSz w:w="12240" w:h="15840"/>
      <w:pgMar w:top="936" w:right="1080" w:bottom="936" w:left="1080" w:header="72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UK Ready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40" w:line="254" w:lineRule="auto"/>
      <w:outlineLvl w:val="0"/>
    </w:pPr>
    <w:rPr>
      <w:rFonts w:asciiTheme="majorHAnsi" w:eastAsiaTheme="majorEastAsia" w:hAnsiTheme="majorHAnsi" w:cstheme="majorBidi" w:ascii="Calibri" w:hAnsi="Calibri"/>
      <w:b/>
      <w:bCs/>
      <w:color w:val="000000"/>
      <w:sz w:val="36"/>
      <w:szCs w:val="28"/>
      <w:lang w:val="en-GB"/>
    </w:rPr>
  </w:style>
  <w:style w:type="paragraph" w:styleId="Heading2">
    <w:name w:val="heading 2"/>
    <w:basedOn w:val="Normal"/>
    <w:next w:val="Normal"/>
    <w:link w:val="Heading2Char"/>
    <w:uiPriority w:val="9"/>
    <w:unhideWhenUsed/>
    <w:qFormat/>
    <w:rsid w:val="00FC693F"/>
    <w:pPr>
      <w:keepNext/>
      <w:keepLines/>
      <w:spacing w:before="180" w:after="80" w:line="254" w:lineRule="auto"/>
      <w:outlineLvl w:val="1"/>
    </w:pPr>
    <w:rPr>
      <w:rFonts w:asciiTheme="majorHAnsi" w:eastAsiaTheme="majorEastAsia" w:hAnsiTheme="majorHAnsi" w:cstheme="majorBidi" w:ascii="Calibri" w:hAnsi="Calibri"/>
      <w:b/>
      <w:bCs/>
      <w:color w:val="000000"/>
      <w:sz w:val="24"/>
      <w:szCs w:val="26"/>
      <w:lang w:val="en-GB"/>
    </w:rPr>
  </w:style>
  <w:style w:type="paragraph" w:styleId="Heading3">
    <w:name w:val="heading 3"/>
    <w:basedOn w:val="Normal"/>
    <w:next w:val="Normal"/>
    <w:link w:val="Heading3Char"/>
    <w:uiPriority w:val="9"/>
    <w:unhideWhenUsed/>
    <w:qFormat/>
    <w:rsid w:val="00FC693F"/>
    <w:pPr>
      <w:keepNext/>
      <w:keepLines/>
      <w:spacing w:before="200" w:after="120" w:line="254" w:lineRule="auto"/>
      <w:outlineLvl w:val="2"/>
    </w:pPr>
    <w:rPr>
      <w:rFonts w:asciiTheme="majorHAnsi" w:eastAsiaTheme="majorEastAsia" w:hAnsiTheme="majorHAnsi" w:cstheme="majorBidi" w:ascii="Calibri" w:hAnsi="Calibri"/>
      <w:b/>
      <w:bCs/>
      <w:color w:val="000000"/>
      <w:sz w:val="22"/>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Calibri" w:hAnsi="Calibri"/>
      <w:b/>
      <w:color w:val="000000"/>
      <w:spacing w:val="5"/>
      <w:kern w:val="28"/>
      <w:sz w:val="54"/>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60" w:line="254" w:lineRule="auto"/>
    </w:pPr>
    <w:rPr>
      <w:rFonts w:asciiTheme="majorHAnsi" w:eastAsiaTheme="majorEastAsia" w:hAnsiTheme="majorHAnsi" w:cstheme="majorBidi" w:ascii="Calibri" w:hAnsi="Calibri"/>
      <w:i/>
      <w:iCs/>
      <w:color w:val="000000"/>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54" w:lineRule="auto" w:after="120"/>
    </w:pPr>
    <w:rPr>
      <w:rFonts w:ascii="Calibri" w:hAnsi="Calibri"/>
      <w:b/>
      <w:bCs/>
      <w:color w:val="000000"/>
      <w:sz w:val="22"/>
      <w:szCs w:val="18"/>
      <w:lang w:val="en-GB"/>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eready.campaign.gov.uk/be-ready-for-emergencies/" TargetMode="External"/><Relationship Id="rId10" Type="http://schemas.openxmlformats.org/officeDocument/2006/relationships/hyperlink" Target="https://www.health.nsw.gov.au/emergency_preparedness/planning/Factsheets/emergency-pantry-list.pdf" TargetMode="External"/><Relationship Id="rId11" Type="http://schemas.openxmlformats.org/officeDocument/2006/relationships/hyperlink" Target="https://beready.campaign.gov.uk/be-informed-about-hazards/water-supply-interruptions-or-outages/" TargetMode="External"/><Relationship Id="rId12" Type="http://schemas.openxmlformats.org/officeDocument/2006/relationships/hyperlink" Target="https://ready.campaign.gov.scot/emergency-kit" TargetMode="External"/><Relationship Id="rId13" Type="http://schemas.openxmlformats.org/officeDocument/2006/relationships/hyperlink" Target="https://www.gov.uk/government/publications/home-food-fact-checker/home-food-fact-checker" TargetMode="External"/><Relationship Id="rId14" Type="http://schemas.openxmlformats.org/officeDocument/2006/relationships/hyperlink" Target="https://www.gov.uk/government/publications/food-safety-in-a-power-cut-advice-for-consumers/food-safety-in-a-power-cut-advice-for-consumers" TargetMode="External"/><Relationship Id="rId15" Type="http://schemas.openxmlformats.org/officeDocument/2006/relationships/hyperlink" Target="https://www.nhs.uk/conditions/carbon-monoxide-poisoning/" TargetMode="External"/><Relationship Id="rId16" Type="http://schemas.openxmlformats.org/officeDocument/2006/relationships/hyperlink" Target="https://www.nhs.uk/best-start-in-life/baby/feeding-your-baby/bottle-feeding/how-to-make-up-a-feed/how-to-use-formula/" TargetMode="External"/><Relationship Id="rId17" Type="http://schemas.openxmlformats.org/officeDocument/2006/relationships/hyperlink" Target="https://www.hseni.gov.uk/news/safety-tips-using-portable-generator-emergency" TargetMode="External"/><Relationship Id="rId1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week emergency food and essentials checklist</dc:title>
  <dc:subject>UK Ready household planning guide and printable checklist</dc:subject>
  <dc:creator>UK Ready</dc:creator>
  <cp:keywords>UK Ready, emergency pantry, food, water, fourteen days, checklist</cp:keywords>
  <dc:description/>
  <cp:lastModifiedBy/>
  <cp:revision>1</cp:revision>
  <dcterms:created xsi:type="dcterms:W3CDTF">2013-12-23T23:15:00Z</dcterms:created>
  <dcterms:modified xsi:type="dcterms:W3CDTF">2013-12-23T23:15:00Z</dcterms:modified>
  <cp:category/>
</cp:coreProperties>
</file>